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FİYAT TEKLİFİ</w:t>
      </w:r>
    </w:p>
    <w:p>
      <w:r>
        <w:rPr>
          <w:b/>
        </w:rPr>
        <w:t xml:space="preserve">Firma: </w:t>
      </w:r>
      <w:r>
        <w:rPr/>
        <w:t xml:space="preserve">[Matbaanın ticaret unvanı, adresi, telefonu, vergi dairesi ve numarası]</w:t>
      </w:r>
    </w:p>
    <w:p>
      <w:r>
        <w:rPr>
          <w:b/>
        </w:rPr>
        <w:t xml:space="preserve">Teklif no: </w:t>
      </w:r>
      <w:r>
        <w:rPr/>
        <w:t xml:space="preserve">[2026-001]   </w:t>
      </w:r>
      <w:r>
        <w:rPr>
          <w:b/>
        </w:rPr>
        <w:t xml:space="preserve">Tarih: </w:t>
      </w:r>
      <w:r>
        <w:rPr/>
        <w:t xml:space="preserve">[gg.aa.yyyy]   </w:t>
      </w:r>
      <w:r>
        <w:rPr>
          <w:b/>
        </w:rPr>
        <w:t xml:space="preserve">Geçerlilik: </w:t>
      </w:r>
      <w:r>
        <w:rPr/>
        <w:t xml:space="preserve">15 gün</w:t>
      </w:r>
    </w:p>
    <w:p>
      <w:r>
        <w:rPr>
          <w:b/>
        </w:rPr>
        <w:t xml:space="preserve">Müşteri: </w:t>
      </w:r>
      <w:r>
        <w:rPr/>
        <w:t xml:space="preserve">[Müşteri unvanı, yetkilisi, telefonu, e-postası]</w:t>
      </w:r>
    </w:p>
    <w:p/>
    <w:tbl>
      <w:tblPr>
        <w:tblW w:w="96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600"/>
        <w:gridCol w:w="4600"/>
        <w:gridCol w:w="1100"/>
        <w:gridCol w:w="1600"/>
        <w:gridCol w:w="1700"/>
      </w:tblGrid>
      <w:tr>
        <w:tc>
          <w:tcPr>
            <w:tcW w:w="600" w:type="dxa"/>
            <w:shd w:val="clear" w:color="auto" w:fill="F2F2F2"/>
          </w:tcPr>
          <w:p>
            <w:r>
              <w:rPr>
                <w:b/>
              </w:rPr>
              <w:t xml:space="preserve">#</w:t>
            </w:r>
          </w:p>
        </w:tc>
        <w:tc>
          <w:tcPr>
            <w:tcW w:w="4600" w:type="dxa"/>
            <w:shd w:val="clear" w:color="auto" w:fill="F2F2F2"/>
          </w:tcPr>
          <w:p>
            <w:r>
              <w:rPr>
                <w:b/>
              </w:rPr>
              <w:t xml:space="preserve">İş tanımı (ebat, kâğıt, renk, işlem)</w:t>
            </w:r>
          </w:p>
        </w:tc>
        <w:tc>
          <w:tcPr>
            <w:tcW w:w="1100" w:type="dxa"/>
            <w:shd w:val="clear" w:color="auto" w:fill="F2F2F2"/>
          </w:tcPr>
          <w:p>
            <w:pPr>
              <w:jc w:val="right"/>
            </w:pPr>
            <w:r>
              <w:rPr>
                <w:b/>
              </w:rPr>
              <w:t xml:space="preserve">Adet</w:t>
            </w:r>
          </w:p>
        </w:tc>
        <w:tc>
          <w:tcPr>
            <w:tcW w:w="1600" w:type="dxa"/>
            <w:shd w:val="clear" w:color="auto" w:fill="F2F2F2"/>
          </w:tcPr>
          <w:p>
            <w:pPr>
              <w:jc w:val="right"/>
            </w:pPr>
            <w:r>
              <w:rPr>
                <w:b/>
              </w:rPr>
              <w:t xml:space="preserve">Birim fiyat</w:t>
            </w:r>
          </w:p>
        </w:tc>
        <w:tc>
          <w:tcPr>
            <w:tcW w:w="1700" w:type="dxa"/>
            <w:shd w:val="clear" w:color="auto" w:fill="F2F2F2"/>
          </w:tcPr>
          <w:p>
            <w:pPr>
              <w:jc w:val="right"/>
            </w:pPr>
            <w:r>
              <w:rPr>
                <w:b/>
              </w:rPr>
              <w:t xml:space="preserve">Tutar</w:t>
            </w:r>
          </w:p>
        </w:tc>
      </w:tr>
      <w:tr>
        <w:tc>
          <w:tcPr>
            <w:tcW w:w="600" w:type="dxa"/>
          </w:tcPr>
          <w:p>
            <w:r>
              <w:rPr/>
              <w:t xml:space="preserve">1</w:t>
            </w:r>
          </w:p>
        </w:tc>
        <w:tc>
          <w:tcPr>
            <w:tcW w:w="4600" w:type="dxa"/>
          </w:tcPr>
          <w:p>
            <w:r>
              <w:rPr/>
              <w:t xml:space="preserve">Örnek: Kartvizit 85×55 mm, 350 g kuşe, 4+4 renk, çift yüz mat selefon</w:t>
            </w:r>
          </w:p>
        </w:tc>
        <w:tc>
          <w:tcPr>
            <w:tcW w:w="1100" w:type="dxa"/>
          </w:tcPr>
          <w:p>
            <w:pPr>
              <w:jc w:val="right"/>
            </w:pPr>
            <w:r>
              <w:rPr/>
              <w:t xml:space="preserve">1.000</w:t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7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600" w:type="dxa"/>
          </w:tcPr>
          <w:p>
            <w:r>
              <w:rPr/>
              <w:t xml:space="preserve">2</w:t>
            </w:r>
          </w:p>
        </w:tc>
        <w:tc>
          <w:tcPr>
            <w:tcW w:w="4600" w:type="dxa"/>
          </w:tcPr>
          <w:p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7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600" w:type="dxa"/>
          </w:tcPr>
          <w:p>
            <w:r>
              <w:rPr/>
              <w:t xml:space="preserve">3</w:t>
            </w:r>
          </w:p>
        </w:tc>
        <w:tc>
          <w:tcPr>
            <w:tcW w:w="4600" w:type="dxa"/>
          </w:tcPr>
          <w:p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7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600" w:type="dxa"/>
          </w:tcPr>
          <w:p>
            <w:r>
              <w:rPr/>
              <w:t xml:space="preserve">4</w:t>
            </w:r>
          </w:p>
        </w:tc>
        <w:tc>
          <w:tcPr>
            <w:tcW w:w="4600" w:type="dxa"/>
          </w:tcPr>
          <w:p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7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600" w:type="dxa"/>
          </w:tcPr>
          <w:p>
            <w:r>
              <w:rPr/>
              <w:t xml:space="preserve">5</w:t>
            </w:r>
          </w:p>
        </w:tc>
        <w:tc>
          <w:tcPr>
            <w:tcW w:w="4600" w:type="dxa"/>
          </w:tcPr>
          <w:p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7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600" w:type="dxa"/>
          </w:tcPr>
          <w:p>
            <w:r>
              <w:rPr>
                <w:b/>
              </w:rPr>
              <w:t xml:space="preserve"/>
            </w:r>
          </w:p>
        </w:tc>
        <w:tc>
          <w:tcPr>
            <w:tcW w:w="4600" w:type="dxa"/>
          </w:tcPr>
          <w:p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Ara toplam</w:t>
            </w:r>
          </w:p>
        </w:tc>
        <w:tc>
          <w:tcPr>
            <w:tcW w:w="1700" w:type="dxa"/>
          </w:tcPr>
          <w:p>
            <w:pPr>
              <w:jc w:val="right"/>
            </w:pPr>
            <w:r>
              <w:rPr>
                <w:b/>
              </w:rPr>
              <w:t xml:space="preserve"/>
            </w:r>
          </w:p>
        </w:tc>
      </w:tr>
      <w:tr>
        <w:tc>
          <w:tcPr>
            <w:tcW w:w="600" w:type="dxa"/>
          </w:tcPr>
          <w:p>
            <w:r>
              <w:rPr>
                <w:b/>
              </w:rPr>
              <w:t xml:space="preserve"/>
            </w:r>
          </w:p>
        </w:tc>
        <w:tc>
          <w:tcPr>
            <w:tcW w:w="4600" w:type="dxa"/>
          </w:tcPr>
          <w:p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KDV (%20)</w:t>
            </w:r>
          </w:p>
        </w:tc>
        <w:tc>
          <w:tcPr>
            <w:tcW w:w="1700" w:type="dxa"/>
          </w:tcPr>
          <w:p>
            <w:pPr>
              <w:jc w:val="right"/>
            </w:pPr>
            <w:r>
              <w:rPr>
                <w:b/>
              </w:rPr>
              <w:t xml:space="preserve"/>
            </w:r>
          </w:p>
        </w:tc>
      </w:tr>
      <w:tr>
        <w:tc>
          <w:tcPr>
            <w:tcW w:w="600" w:type="dxa"/>
          </w:tcPr>
          <w:p>
            <w:r>
              <w:rPr>
                <w:b/>
              </w:rPr>
              <w:t xml:space="preserve"/>
            </w:r>
          </w:p>
        </w:tc>
        <w:tc>
          <w:tcPr>
            <w:tcW w:w="4600" w:type="dxa"/>
          </w:tcPr>
          <w:p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Genel toplam</w:t>
            </w:r>
          </w:p>
        </w:tc>
        <w:tc>
          <w:tcPr>
            <w:tcW w:w="1700" w:type="dxa"/>
          </w:tcPr>
          <w:p>
            <w:pPr>
              <w:jc w:val="right"/>
            </w:pPr>
            <w:r>
              <w:rPr>
                <w:b/>
              </w:rPr>
              <w:t xml:space="preserve"/>
            </w:r>
          </w:p>
        </w:tc>
      </w:tr>
    </w:tbl>
    <w:p/>
    <w:p>
      <w:r>
        <w:rPr>
          <w:b/>
        </w:rPr>
        <w:t xml:space="preserve">Koşullar</w:t>
      </w:r>
    </w:p>
    <w:p>
      <w:r>
        <w:rPr/>
        <w:t xml:space="preserve">• Geçerlilik: Bu teklif düzenlendiği tarihten itibaren 15 gün geçerlidir (6098 sayılı TBK md. 3: süreli öneride öneren süre bitene kadar bağlıdır).</w:t>
      </w:r>
    </w:p>
    <w:p>
      <w:r>
        <w:rPr/>
        <w:t xml:space="preserve">• Fiyatlar KDV hariçtir; fatura tarihindeki KDV oranı eklenir. Ticari baskı işlerinde genel oran %20'dir.</w:t>
      </w:r>
    </w:p>
    <w:p>
      <w:r>
        <w:rPr/>
        <w:t xml:space="preserve">• Baskı, yazılı ya da e-posta ile verilen prova onayından sonra başlar. Onaylanan provadaki yazım hataları müşterinin sorumluluğundadır.</w:t>
      </w:r>
    </w:p>
    <w:p>
      <w:r>
        <w:rPr/>
        <w:t xml:space="preserve">• Dosyalar CMYK, 300 dpi, her kenarda 3 mm taşma payı ile gönderilir. Uygun olmayan dosyanın düzenlemesi ayrıca fiyatlanır.</w:t>
      </w:r>
    </w:p>
    <w:p>
      <w:r>
        <w:rPr/>
        <w:t xml:space="preserve">• Renk: Ekran ve ofis yazıcısı çıktısı baskı rengini göstermez. Kritik renk için ıslak prova istenir, ücreti ayrıdır.</w:t>
      </w:r>
    </w:p>
    <w:p>
      <w:r>
        <w:rPr/>
        <w:t xml:space="preserve">• Adet toleransı: Fire nedeniyle teslim adedi siparişin ±%2'si kadar değişebilir; fatura teslim adedine göre düzenlenir.</w:t>
      </w:r>
    </w:p>
    <w:p>
      <w:r>
        <w:rPr/>
        <w:t xml:space="preserve">• Teslim: Prova onayı ve ödemeden sonra … iş günü. Kargo bedeli alıcıya aittir (desi: en × boy × yükseklik / 3000; ağırlık ile desiden büyük olan esas alınır).</w:t>
      </w:r>
    </w:p>
    <w:p>
      <w:r>
        <w:rPr/>
        <w:t xml:space="preserve">• Ödeme: %… sipariş onayında, kalanı teslimde. Banka: … IBAN: …</w:t>
      </w:r>
    </w:p>
    <w:p>
      <w:r>
        <w:rPr/>
        <w:t xml:space="preserve">• Kişiye özel basılan ürünlerde tüketicinin cayma hakkı yoktur (Mesafeli Sözleşmeler Yönetmeliği md. 15/1-b).</w:t>
      </w:r>
    </w:p>
    <w:p/>
    <w:p>
      <w:r>
        <w:rPr/>
        <w:t xml:space="preserve">Teklifi kabul ediyorum. Ad soyad / imza / kaşe: ______________________</w:t>
      </w:r>
    </w:p>
    <w:p/>
    <w:p>
      <w:r>
        <w:rPr>
          <w:i/>
          <w:sz w:val="16"/>
        </w:rPr>
        <w:t xml:space="preserve">Heysengo rehberi · heysengo.com/rehber · 20.10.2026. Sarı hücreler senin girdin; örnek değerler piyasa fiyatı değildir.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lang w:val="tr-TR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